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22" w:rsidRDefault="00985122">
      <w:pPr>
        <w:pStyle w:val="af0"/>
        <w:spacing w:before="0" w:after="0"/>
        <w:ind w:left="6237"/>
      </w:pPr>
      <w:bookmarkStart w:id="0" w:name="_GoBack"/>
      <w:bookmarkEnd w:id="0"/>
      <w:r>
        <w:rPr>
          <w:rStyle w:val="a4"/>
          <w:i w:val="0"/>
          <w:highlight w:val="yellow"/>
        </w:rPr>
        <w:t xml:space="preserve">Приложение к письму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 xml:space="preserve">Министерства образования и науки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 xml:space="preserve">Республики </w:t>
      </w:r>
      <w:r>
        <w:rPr>
          <w:rStyle w:val="a4"/>
          <w:i w:val="0"/>
          <w:color w:val="000000"/>
          <w:highlight w:val="yellow"/>
        </w:rPr>
        <w:t>Дагестан</w:t>
      </w:r>
      <w:r>
        <w:rPr>
          <w:rStyle w:val="a4"/>
          <w:i w:val="0"/>
          <w:highlight w:val="yellow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22" w:rsidRDefault="00985122">
      <w:r>
        <w:separator/>
      </w:r>
    </w:p>
  </w:endnote>
  <w:endnote w:type="continuationSeparator" w:id="0">
    <w:p w:rsidR="00985122" w:rsidRDefault="009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22" w:rsidRDefault="00985122">
      <w:r>
        <w:separator/>
      </w:r>
    </w:p>
  </w:footnote>
  <w:footnote w:type="continuationSeparator" w:id="0">
    <w:p w:rsidR="00985122" w:rsidRDefault="00985122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F"/>
    <w:rsid w:val="00151F9F"/>
    <w:rsid w:val="0059045D"/>
    <w:rsid w:val="0078663C"/>
    <w:rsid w:val="00985122"/>
    <w:rsid w:val="00C85739"/>
    <w:rsid w:val="00F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79996D-F9D5-3341-A194-87F6FE6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13121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subject/>
  <dc:creator>oso7</dc:creator>
  <cp:keywords/>
  <cp:lastModifiedBy>Пользователь Windows</cp:lastModifiedBy>
  <cp:revision>2</cp:revision>
  <cp:lastPrinted>1995-11-21T14:41:00Z</cp:lastPrinted>
  <dcterms:created xsi:type="dcterms:W3CDTF">2020-04-06T07:55:00Z</dcterms:created>
  <dcterms:modified xsi:type="dcterms:W3CDTF">2020-04-06T07:55:00Z</dcterms:modified>
</cp:coreProperties>
</file>